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0"/>
      </w:tblGrid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spacing w:lineRule="auto" w:line="240" w:before="114" w:after="114"/>
              <w:ind w:left="0" w:right="0" w:firstLine="709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к приказу Министерства сельского, лесного хозяйства и природных ресурсов Ульяновской области </w:t>
              <w:br/>
            </w:r>
            <w:r>
              <w:rPr>
                <w:rFonts w:eastAsia="Times New Roman" w:cs="Times New Roman" w:ascii="PT Astra Serif" w:hAnsi="PT Astra Serif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от 5 марта 2018 года № 2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right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W w:w="47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</w:tblGrid>
      <w:tr>
        <w:trPr/>
        <w:tc>
          <w:tcPr>
            <w:tcW w:w="4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В Министерство агропромышленного комплекса</w:t>
              <w:br/>
              <w:t>и развития сельских территорий Ульяновской области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СПРАВКА-РАСЧЁТ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center"/>
        <w:rPr>
          <w:b/>
          <w:b/>
          <w:bCs/>
        </w:rPr>
      </w:pPr>
      <w:r>
        <w:rPr>
          <w:rFonts w:eastAsia="Times New Roman" w:cs="Times New Roman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на получение сельскохозяйственным потребительским кооперативом</w:t>
        <w:br/>
        <w:t>и потребительским обществом субсидии из областного бюджета Ульяновской области на возмещение части их затрат, понесённых</w:t>
        <w:br/>
        <w:t xml:space="preserve">в связи с приобретением поголовья крупного рогатого скота в целях обеспечения деятельности отдельных категорий граждан,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center"/>
        <w:rPr>
          <w:b/>
          <w:b/>
          <w:bCs/>
        </w:rPr>
      </w:pPr>
      <w:r>
        <w:rPr>
          <w:rFonts w:eastAsia="Times New Roman" w:cs="Times New Roman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ведущих личное подсобное хозяйство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 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за _________________________________________ 20___ года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&lt;*&gt;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  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    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(месяц)</w:t>
      </w:r>
    </w:p>
    <w:p>
      <w:pPr>
        <w:pStyle w:val="Normal"/>
        <w:spacing w:lineRule="auto" w:line="24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</w:r>
    </w:p>
    <w:tbl>
      <w:tblPr>
        <w:tblW w:w="9634" w:type="dxa"/>
        <w:jc w:val="left"/>
        <w:tblInd w:w="59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42"/>
        <w:gridCol w:w="2587"/>
        <w:gridCol w:w="1920"/>
        <w:gridCol w:w="667"/>
        <w:gridCol w:w="785"/>
        <w:gridCol w:w="1440"/>
        <w:gridCol w:w="1192"/>
      </w:tblGrid>
      <w:tr>
        <w:trPr/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Группа сельско</w:t>
              <w:br/>
              <w:t>хозяйст</w:t>
              <w:br/>
              <w:t>венных живот</w:t>
              <w:br/>
              <w:t>ных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Количество товарного поголовья нетелей</w:t>
              <w:br/>
              <w:t>и (или) коров молочного направления, приобретённых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</w:t>
              <w:br/>
              <w:t>за отчётный период, голов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Индивидуальный номер поголовья крупного рогатого скота</w:t>
              <w:br/>
              <w:t>и реквизиты ветеринарных сопроводитель -</w:t>
              <w:br/>
              <w:t xml:space="preserve">ных документов 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Стоимость товарного поголовья нетелей</w:t>
              <w:br/>
              <w:t>и (или) коров молочного направления (без учёта НДС и транспорт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ных расходов)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Размер ставки субсидии</w:t>
              <w:br/>
              <w:t>за 1 голову приобретён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ной товарной нетели или коровы молочного направления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Размер субсидии, </w:t>
            </w:r>
            <w:hyperlink w:anchor="Par4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&lt;**&gt;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рублей (</w:t>
            </w:r>
            <w:hyperlink w:anchor="Par1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гр. 2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x</w:t>
              <w:br/>
            </w:r>
            <w:hyperlink w:anchor="Par1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гр. 6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firstLine="709"/>
              <w:jc w:val="both"/>
              <w:outlineLvl w:val="0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firstLine="709"/>
              <w:jc w:val="both"/>
              <w:outlineLvl w:val="0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firstLine="709"/>
              <w:jc w:val="both"/>
              <w:outlineLvl w:val="0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outlineLvl w:val="0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за 1 голову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Всего (</w:t>
            </w:r>
            <w:hyperlink w:anchor="Par1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гр. 2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x </w:t>
            </w:r>
            <w:hyperlink w:anchor="Par2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гр. 4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7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200"/>
              <w:ind w:left="0" w:right="0" w:firstLine="709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Руководитель___________________ 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>(подпись)                      (Ф.И.О. 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Главный бухгалтер______________  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     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>(подпись)                       (Ф.И.О.)</w:t>
      </w:r>
    </w:p>
    <w:p>
      <w:pPr>
        <w:pStyle w:val="Normal"/>
        <w:spacing w:lineRule="auto" w:line="24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М.П.</w:t>
      </w:r>
    </w:p>
    <w:p>
      <w:pPr>
        <w:pStyle w:val="Normal"/>
        <w:spacing w:lineRule="auto" w:line="240"/>
        <w:ind w:left="0" w:right="0" w:firstLine="709"/>
        <w:jc w:val="both"/>
        <w:rPr>
          <w:rFonts w:ascii="PT Astra Serif" w:hAnsi="PT Astra Serif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____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»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__________ 20__ 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tabs>
          <w:tab w:val="clear" w:pos="408"/>
          <w:tab w:val="left" w:pos="3372" w:leader="none"/>
          <w:tab w:val="left" w:pos="3442" w:leader="none"/>
        </w:tabs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4"/>
          <w:szCs w:val="24"/>
          <w:u w:val="none"/>
          <w:lang w:val="ru-RU" w:eastAsia="ru-RU" w:bidi="ar-SA"/>
        </w:rPr>
        <w:tab/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0"/>
          <w:szCs w:val="20"/>
          <w:u w:val="none"/>
          <w:lang w:val="ru-RU" w:eastAsia="ru-RU" w:bidi="ar-SA"/>
        </w:rPr>
        <w:t>&lt;*&gt;Указывается текущий финансовый год или предшествующий финансовый год (в случае отказа</w:t>
        <w:br/>
        <w:t>в предоставлении субсидии в связи с отсутствием, недостаточностью или использованием Министерством агропромышленного комплекса и развития сельских территорий Ульяновской области</w:t>
        <w:br/>
        <w:t>в полном объеме бюджетных ассигнований, предусмотренных в областном бюджете Ульяновской области</w:t>
        <w:br/>
        <w:t>на текущий финансовый год и плановый период).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ab/>
        <w:t xml:space="preserve">&lt;**&gt; Размер субсидии не должен превышать фактическую стоимость </w:t>
      </w:r>
      <w:bookmarkStart w:id="0" w:name="Par49"/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>приобретённого товарного поголовья нетелей и коров молочного направления без учёта НДС и транспортных расходов.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0"/>
          <w:szCs w:val="20"/>
          <w:u w:val="none"/>
          <w:lang w:val="ru-RU" w:eastAsia="ru-RU" w:bidi="ar-SA"/>
        </w:rPr>
        <w:t>»;</w:t>
      </w:r>
      <w:bookmarkEnd w:id="0"/>
    </w:p>
    <w:sectPr>
      <w:headerReference w:type="default" r:id="rId2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sz w:val="24"/>
        <w:szCs w:val="24"/>
        <w:rFonts w:ascii="PT Astra Serif" w:hAnsi="PT Astra Serif"/>
      </w:rPr>
      <w:instrText> PAGE </w:instrText>
    </w:r>
    <w:r>
      <w:rPr>
        <w:sz w:val="24"/>
        <w:szCs w:val="24"/>
        <w:rFonts w:ascii="PT Astra Serif" w:hAnsi="PT Astra Serif"/>
      </w:rPr>
      <w:fldChar w:fldCharType="separate"/>
    </w:r>
    <w:r>
      <w:rPr>
        <w:sz w:val="24"/>
        <w:szCs w:val="24"/>
        <w:rFonts w:ascii="PT Astra Serif" w:hAnsi="PT Astra Serif"/>
      </w:rPr>
      <w:t>2</w:t>
    </w:r>
    <w:r>
      <w:rPr>
        <w:sz w:val="24"/>
        <w:szCs w:val="24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7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4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d1887"/>
    <w:rPr/>
  </w:style>
  <w:style w:type="character" w:styleId="Style16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9d1887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9d1887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ed7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Title"/>
    <w:basedOn w:val="Normal"/>
    <w:qFormat/>
    <w:pPr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6CC6-3448-49EF-81A1-64A3EBA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Application>LibreOffice/6.4.4.2$Linux_X86_64 LibreOffice_project/40$Build-2</Application>
  <Pages>2</Pages>
  <Words>280</Words>
  <Characters>2220</Characters>
  <CharactersWithSpaces>2670</CharactersWithSpaces>
  <Paragraphs>39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2021-04-21T14:53:00Z</dcterms:created>
  <dc:creator>User</dc:creator>
  <dc:description/>
  <dc:language>ru-RU</dc:language>
  <cp:lastModifiedBy/>
  <cp:lastPrinted>2021-06-16T15:39:07Z</cp:lastPrinted>
  <dcterms:modified xsi:type="dcterms:W3CDTF">2021-06-24T17:43:30Z</dcterms:modified>
  <cp:revision>434</cp:revision>
  <dc:subject/>
  <dc:title>Приказ Минприроды Ульяновской области от 05.03.2018 N 2(ред. от 29.03.2021)"Об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